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Доступ экспертов к экземпляру программы</w:t>
      </w:r>
    </w:p>
    <w:p>
      <w:pPr>
        <w:pStyle w:val="ListBullet"/>
      </w:pPr>
      <w:r>
        <w:rPr>
          <w:b w:val="0"/>
        </w:rPr>
        <w:t>Адрес: https://пингани.рф.</w:t>
      </w:r>
    </w:p>
    <w:p>
      <w:pPr>
        <w:pStyle w:val="ListBullet"/>
      </w:pPr>
      <w:r>
        <w:rPr>
          <w:b w:val="0"/>
        </w:rPr>
        <w:t>Для экспертов создаётся отдельная учётная запись с ролью администратора и тестовым балансом. Логин и пароль передаются в заявлении, на сайте не публикуются.</w:t>
      </w:r>
    </w:p>
    <w:p>
      <w:pPr>
        <w:pStyle w:val="ListBullet"/>
      </w:pPr>
      <w:r>
        <w:rPr>
          <w:b w:val="0"/>
        </w:rPr>
        <w:t>Демонстрация: добавление ресурса, проверки из регионов, инцидент, уведомление, статус-страница, журнал аудита.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