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Сторонние компоненты</w:t>
      </w:r>
    </w:p>
    <w:p>
      <w:r>
        <w:rPr>
          <w:b w:val="0"/>
        </w:rPr>
        <w:t>Все компоненты распространяются по свободным лицензиям. Платных иностранных компонентов нет.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Компонент</w:t>
            </w:r>
          </w:p>
        </w:tc>
        <w:tc>
          <w:tcPr>
            <w:tcW w:type="dxa" w:w="2880"/>
          </w:tcPr>
          <w:p>
            <w:r>
              <w:rPr>
                <w:b/>
              </w:rPr>
              <w:t>Назначение</w:t>
            </w:r>
          </w:p>
        </w:tc>
        <w:tc>
          <w:tcPr>
            <w:tcW w:type="dxa" w:w="2880"/>
          </w:tcPr>
          <w:p>
            <w:r>
              <w:rPr>
                <w:b/>
              </w:rPr>
              <w:t>Лицензия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Python 3.12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серверная часть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PSF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FastAPI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API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MIT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SQLAlchemy, Alembic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работа с БД, миграции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MIT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psycopg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драйвер PostgreSQL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LGPL-3.0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clickhouse-connect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драйвер ClickHouse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Apache-2.0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Uvicorn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веб-сервер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BSD-3-Clause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httpx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HTTP-проверки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BSD-3-Clause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dnspython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DNS-проверки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ISC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cryptography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шифрование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Apache-2.0 / BSD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PyJWT, pwdlib (argon2)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аутентификация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MIT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pydantic-settings, email-validator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настройки, проверка почты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MIT / Unlicense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Playwright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браузерные проверки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Apache-2.0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React, React DOM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интерфейс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MIT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d3-geo, d3-zoom, d3-selection, d3-transition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карта доступности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ISC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lucide-react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иконки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ISC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Inter (@fontsource)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шрифт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OFL-1.1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TypeScript, Vite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сборка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Apache-2.0 / MIT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PostgreSQL 16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СУБД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PostgreSQL License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ClickHouse 25.3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хранение результатов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Apache-2.0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nginx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веб-сервер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BSD-2-Clause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Natural Earth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границы регионов для карты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общественное достояние</w:t>
            </w:r>
          </w:p>
        </w:tc>
      </w:tr>
    </w:tbl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