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Государственная пошлина</w:t>
      </w:r>
    </w:p>
    <w:p>
      <w:r>
        <w:rPr>
          <w:b w:val="0"/>
        </w:rPr>
        <w:t xml:space="preserve">Пошлина за регистрацию программы для ЭВМ — </w:t>
      </w:r>
      <w:r>
        <w:rPr>
          <w:b/>
        </w:rPr>
        <w:t>5 000 ₽</w:t>
      </w:r>
      <w:r>
        <w:rPr>
          <w:b w:val="0"/>
        </w:rPr>
        <w:t xml:space="preserve"> (размер указывается в квитанции ЛК ФИПС на дату подачи). Платёжные реквизиты формируются в личном кабинете после создания заявки. Подтверждение оплаты загружается в заявку.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